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20"/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湖北城市职业学校</w:t>
      </w:r>
      <w:r>
        <w:rPr>
          <w:rFonts w:ascii="宋体" w:eastAsia="宋体" w:hAnsi="宋体" w:hint="default"/>
          <w:sz w:val="44"/>
          <w:szCs w:val="44"/>
          <w:lang w:val="en-US"/>
        </w:rPr>
        <w:t>运动场塑胶跑道</w:t>
      </w:r>
      <w:r>
        <w:rPr>
          <w:rFonts w:ascii="宋体" w:eastAsia="宋体" w:hAnsi="宋体" w:hint="eastAsia"/>
          <w:sz w:val="44"/>
          <w:szCs w:val="44"/>
        </w:rPr>
        <w:t>修复</w:t>
      </w:r>
    </w:p>
    <w:p>
      <w:pPr>
        <w:pStyle w:val="style0"/>
        <w:spacing w:lineRule="atLeast" w:line="22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询价</w:t>
      </w:r>
      <w:r>
        <w:rPr>
          <w:rFonts w:ascii="宋体" w:eastAsia="宋体" w:hAnsi="宋体" w:hint="default"/>
          <w:sz w:val="44"/>
          <w:szCs w:val="44"/>
          <w:lang w:val="en-US"/>
        </w:rPr>
        <w:t>公告</w:t>
      </w:r>
    </w:p>
    <w:p>
      <w:pPr>
        <w:pStyle w:val="style0"/>
        <w:spacing w:lineRule="atLeast" w:line="22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为迎接</w:t>
      </w:r>
      <w:r>
        <w:rPr>
          <w:rFonts w:ascii="宋体" w:eastAsia="宋体" w:hAnsi="宋体" w:hint="default"/>
          <w:sz w:val="28"/>
          <w:szCs w:val="28"/>
          <w:lang w:val="en-US"/>
        </w:rPr>
        <w:t>学生</w:t>
      </w:r>
      <w:r>
        <w:rPr>
          <w:rFonts w:ascii="宋体" w:eastAsia="宋体" w:hAnsi="宋体" w:hint="eastAsia"/>
          <w:sz w:val="28"/>
          <w:szCs w:val="28"/>
        </w:rPr>
        <w:t>秋季运动会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default"/>
          <w:sz w:val="28"/>
          <w:szCs w:val="28"/>
          <w:lang w:val="en-US"/>
        </w:rPr>
        <w:t>经巡查，</w:t>
      </w:r>
      <w:r>
        <w:rPr>
          <w:rFonts w:ascii="宋体" w:eastAsia="宋体" w:hAnsi="宋体" w:hint="eastAsia"/>
          <w:sz w:val="28"/>
          <w:szCs w:val="28"/>
        </w:rPr>
        <w:t>拟对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default"/>
          <w:sz w:val="28"/>
          <w:szCs w:val="28"/>
          <w:lang w:val="en-US"/>
        </w:rPr>
        <w:t>运动场</w:t>
      </w:r>
      <w:r>
        <w:rPr>
          <w:rFonts w:ascii="宋体" w:eastAsia="宋体" w:hAnsi="宋体" w:hint="eastAsia"/>
          <w:sz w:val="28"/>
          <w:szCs w:val="28"/>
        </w:rPr>
        <w:t>塑胶跑道破损及裂缝</w:t>
      </w:r>
      <w:r>
        <w:rPr>
          <w:rFonts w:ascii="宋体" w:eastAsia="宋体" w:hAnsi="宋体" w:hint="default"/>
          <w:sz w:val="28"/>
          <w:szCs w:val="28"/>
          <w:lang w:val="en-US"/>
        </w:rPr>
        <w:t>处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 w:hint="default"/>
          <w:sz w:val="28"/>
          <w:szCs w:val="28"/>
          <w:lang w:val="en-US"/>
        </w:rPr>
        <w:t>填补</w:t>
      </w:r>
      <w:r>
        <w:rPr>
          <w:rFonts w:ascii="宋体" w:eastAsia="宋体" w:hAnsi="宋体" w:hint="eastAsia"/>
          <w:sz w:val="28"/>
          <w:szCs w:val="28"/>
        </w:rPr>
        <w:t>修复，</w:t>
      </w:r>
      <w:r>
        <w:rPr>
          <w:rFonts w:ascii="宋体" w:eastAsia="宋体" w:hAnsi="宋体" w:hint="default"/>
          <w:sz w:val="28"/>
          <w:szCs w:val="28"/>
          <w:lang w:val="en-US"/>
        </w:rPr>
        <w:t>以达到</w:t>
      </w:r>
      <w:r>
        <w:rPr>
          <w:rFonts w:ascii="宋体" w:eastAsia="宋体" w:hAnsi="宋体" w:hint="default"/>
          <w:sz w:val="28"/>
          <w:szCs w:val="28"/>
          <w:lang w:val="en-US"/>
        </w:rPr>
        <w:t>学生体育活动</w:t>
      </w:r>
      <w:r>
        <w:rPr>
          <w:rFonts w:ascii="宋体" w:eastAsia="宋体" w:hAnsi="宋体" w:hint="default"/>
          <w:sz w:val="28"/>
          <w:szCs w:val="28"/>
          <w:lang w:val="en-US"/>
        </w:rPr>
        <w:t>训练及运动会</w:t>
      </w:r>
      <w:r>
        <w:rPr>
          <w:rFonts w:ascii="宋体" w:eastAsia="宋体" w:hAnsi="宋体" w:hint="default"/>
          <w:sz w:val="28"/>
          <w:szCs w:val="28"/>
          <w:lang w:val="en-US"/>
        </w:rPr>
        <w:t>使用要求。</w:t>
      </w:r>
      <w:r>
        <w:rPr>
          <w:rFonts w:ascii="宋体" w:eastAsia="宋体" w:hAnsi="宋体" w:hint="default"/>
          <w:sz w:val="28"/>
          <w:szCs w:val="28"/>
          <w:lang w:val="en-US"/>
        </w:rPr>
        <w:t>基本</w:t>
      </w:r>
      <w:r>
        <w:rPr>
          <w:rFonts w:ascii="宋体" w:eastAsia="宋体" w:hAnsi="宋体" w:hint="eastAsia"/>
          <w:sz w:val="28"/>
          <w:szCs w:val="28"/>
        </w:rPr>
        <w:t>情况</w:t>
      </w:r>
      <w:r>
        <w:rPr>
          <w:rFonts w:ascii="宋体" w:eastAsia="宋体" w:hAnsi="宋体" w:hint="default"/>
          <w:sz w:val="28"/>
          <w:szCs w:val="28"/>
          <w:lang w:val="en-US"/>
        </w:rPr>
        <w:t>及要求</w:t>
      </w:r>
      <w:r>
        <w:rPr>
          <w:rFonts w:ascii="宋体" w:eastAsia="宋体" w:hAnsi="宋体" w:hint="eastAsia"/>
          <w:sz w:val="28"/>
          <w:szCs w:val="28"/>
        </w:rPr>
        <w:t>如下</w:t>
      </w:r>
      <w:r>
        <w:rPr>
          <w:rFonts w:ascii="宋体" w:eastAsia="宋体" w:hAnsi="宋体" w:hint="default"/>
          <w:sz w:val="28"/>
          <w:szCs w:val="28"/>
          <w:lang w:val="en-US"/>
        </w:rPr>
        <w:t>表</w:t>
      </w:r>
      <w:r>
        <w:rPr>
          <w:rFonts w:ascii="宋体" w:hAnsi="宋体" w:hint="default"/>
          <w:sz w:val="28"/>
          <w:szCs w:val="28"/>
          <w:lang w:val="en-US"/>
        </w:rPr>
        <w:t>，欢迎有施工资质的供应商参与公开询价报价</w:t>
      </w:r>
      <w:r>
        <w:rPr>
          <w:rFonts w:ascii="宋体" w:hAnsi="宋体" w:hint="default"/>
          <w:sz w:val="28"/>
          <w:szCs w:val="28"/>
          <w:lang w:val="en-US"/>
        </w:rPr>
        <w:t>，</w:t>
      </w:r>
      <w:r>
        <w:rPr>
          <w:rFonts w:ascii="宋体" w:hAnsi="宋体" w:hint="default"/>
          <w:sz w:val="28"/>
          <w:szCs w:val="28"/>
          <w:lang w:val="en-US"/>
        </w:rPr>
        <w:t>报价单请填写后密封盖章，于2018年10月15日上午9:30前递交学校总务处，联系人李老师0714-6379883</w:t>
      </w:r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2131"/>
        <w:gridCol w:w="1278"/>
        <w:gridCol w:w="1278"/>
        <w:gridCol w:w="1278"/>
        <w:gridCol w:w="2557"/>
      </w:tblGrid>
      <w:tr>
        <w:trPr>
          <w:trHeight w:val="624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项目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面积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报价</w:t>
            </w:r>
            <w:r>
              <w:rPr>
                <w:rFonts w:hint="eastAsia"/>
              </w:rPr>
              <w:t>金额</w:t>
            </w: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default"/>
                <w:lang w:val="en-US"/>
              </w:rPr>
              <w:t>塑胶</w:t>
            </w:r>
            <w:r>
              <w:rPr>
                <w:rFonts w:hint="eastAsia"/>
              </w:rPr>
              <w:t>跑道破损及裂缝</w:t>
            </w:r>
            <w:r>
              <w:rPr>
                <w:rFonts w:hint="default"/>
                <w:lang w:val="en-US"/>
              </w:rPr>
              <w:t>处填补修复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处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平米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主材</w:t>
            </w:r>
            <w:r>
              <w:rPr>
                <w:rFonts w:hint="eastAsia"/>
              </w:rPr>
              <w:t>MPDM</w:t>
            </w:r>
            <w:r>
              <w:rPr>
                <w:rFonts w:hint="eastAsia"/>
              </w:rPr>
              <w:t>颗粒</w:t>
            </w:r>
            <w:r>
              <w:rPr>
                <w:rFonts w:hint="eastAsia"/>
              </w:rPr>
              <w:t>，具体情况现场自行堪踏</w:t>
            </w: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税金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利润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合计</w:t>
            </w:r>
            <w:r>
              <w:rPr>
                <w:rFonts w:hint="default"/>
                <w:lang w:val="en-US"/>
              </w:rPr>
              <w:t>（</w:t>
            </w:r>
            <w:r>
              <w:rPr>
                <w:rFonts w:hint="default"/>
                <w:lang w:val="en-US"/>
              </w:rPr>
              <w:t>包干价</w:t>
            </w:r>
            <w:r>
              <w:rPr>
                <w:rFonts w:hint="default"/>
                <w:lang w:val="en-US"/>
              </w:rPr>
              <w:t>）</w:t>
            </w: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7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  <w:tc>
          <w:tcPr>
            <w:tcW w:w="150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250" w:type="pct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/>
            </w:pPr>
            <w:r>
              <w:rPr>
                <w:rFonts w:hint="eastAsia"/>
              </w:rPr>
              <w:t>大写总金额</w:t>
            </w:r>
            <w:r>
              <w:rPr>
                <w:rFonts w:hint="default"/>
                <w:lang w:val="en-US"/>
              </w:rPr>
              <w:t>（</w:t>
            </w:r>
            <w:r>
              <w:rPr>
                <w:rFonts w:hint="default"/>
                <w:lang w:val="en-US"/>
              </w:rPr>
              <w:t>包干价</w:t>
            </w:r>
            <w:r>
              <w:rPr>
                <w:rFonts w:hint="default"/>
                <w:lang w:val="en-US"/>
              </w:rPr>
              <w:t>）</w:t>
            </w:r>
          </w:p>
        </w:tc>
        <w:tc>
          <w:tcPr>
            <w:tcW w:w="3750" w:type="pct"/>
            <w:gridSpan w:val="4"/>
            <w:tcBorders/>
            <w:vAlign w:val="center"/>
          </w:tcPr>
          <w:p>
            <w:pPr>
              <w:pStyle w:val="style0"/>
              <w:spacing w:lineRule="atLeast" w:line="220"/>
              <w:rPr/>
            </w:pPr>
          </w:p>
        </w:tc>
      </w:tr>
    </w:tbl>
    <w:p>
      <w:pPr>
        <w:pStyle w:val="style0"/>
        <w:spacing w:lineRule="atLeast" w:line="220"/>
        <w:rPr>
          <w:lang w:val="en-US"/>
        </w:rPr>
      </w:pPr>
      <w:r>
        <w:rPr>
          <w:lang w:val="en-US"/>
        </w:rPr>
        <w:t>报价单位盖章:</w:t>
      </w:r>
    </w:p>
    <w:p>
      <w:pPr>
        <w:pStyle w:val="style0"/>
        <w:spacing w:lineRule="atLeast" w:line="220"/>
        <w:rPr/>
      </w:pPr>
      <w:r>
        <w:rPr>
          <w:lang w:val="en-US"/>
        </w:rPr>
        <w:t>联系电话:</w:t>
      </w:r>
    </w:p>
    <w:p>
      <w:pPr>
        <w:pStyle w:val="style0"/>
        <w:spacing w:after="0" w:lineRule="exact" w:line="480"/>
        <w:ind w:firstLine="4480" w:firstLineChars="1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湖北城市职业学校</w:t>
      </w:r>
    </w:p>
    <w:p>
      <w:pPr>
        <w:pStyle w:val="style0"/>
        <w:spacing w:after="0" w:lineRule="exact" w:line="480"/>
        <w:ind w:firstLine="4900" w:firstLineChars="175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2018.10.1</w:t>
      </w:r>
      <w:r>
        <w:rPr>
          <w:rFonts w:ascii="宋体" w:eastAsia="宋体" w:hAnsi="宋体" w:hint="default"/>
          <w:sz w:val="28"/>
          <w:szCs w:val="28"/>
          <w:lang w:val="en-US"/>
        </w:rPr>
        <w:t>2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tLeast" w:line="220"/>
      </w:pPr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lineRule="auto" w:line="240"/>
    </w:pPr>
    <w:rPr>
      <w:rFonts w:ascii="Tahoma" w:hAnsi="Tahom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Words>244</Words>
  <Pages>1</Pages>
  <Characters>277</Characters>
  <Application>WPS Office</Application>
  <DocSecurity>0</DocSecurity>
  <Paragraphs>46</Paragraphs>
  <ScaleCrop>false</ScaleCrop>
  <LinksUpToDate>false</LinksUpToDate>
  <CharactersWithSpaces>277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WPS Office</dc:creator>
  <lastModifiedBy>vivo X21A</lastModifiedBy>
  <dcterms:modified xsi:type="dcterms:W3CDTF">2018-10-13T01:05:17Z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