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rPr>
          <w:rFonts w:ascii="黑体" w:hAnsi="宋体" w:eastAsia="黑体" w:cs="黑体"/>
          <w:sz w:val="32"/>
          <w:szCs w:val="32"/>
        </w:rPr>
      </w:pPr>
      <w:r>
        <w:rPr>
          <w:rFonts w:hint="eastAsia" w:ascii="黑体" w:hAnsi="宋体" w:eastAsia="黑体" w:cs="黑体"/>
          <w:sz w:val="32"/>
          <w:szCs w:val="32"/>
        </w:rPr>
        <w:t>附件2</w:t>
      </w:r>
    </w:p>
    <w:p>
      <w:pPr>
        <w:snapToGrid w:val="0"/>
        <w:jc w:val="center"/>
        <w:rPr>
          <w:rFonts w:ascii="方正大标宋简体" w:hAnsi="宋体" w:eastAsia="方正大标宋简体"/>
          <w:sz w:val="44"/>
          <w:szCs w:val="44"/>
        </w:rPr>
      </w:pPr>
      <w:r>
        <w:rPr>
          <w:rFonts w:hint="eastAsia" w:ascii="方正大标宋简体" w:hAnsi="宋体" w:eastAsia="方正大标宋简体" w:cs="方正小标宋简体"/>
          <w:sz w:val="44"/>
          <w:szCs w:val="44"/>
          <w:lang w:val="en-US" w:eastAsia="zh-CN"/>
        </w:rPr>
        <w:t>2021</w:t>
      </w:r>
      <w:r>
        <w:rPr>
          <w:rFonts w:hint="eastAsia" w:ascii="方正大标宋简体" w:hAnsi="宋体" w:eastAsia="方正大标宋简体" w:cs="方正小标宋简体"/>
          <w:sz w:val="44"/>
          <w:szCs w:val="44"/>
        </w:rPr>
        <w:t>年度职业教育专项经费项目自评表</w:t>
      </w:r>
    </w:p>
    <w:p>
      <w:pPr>
        <w:snapToGrid w:val="0"/>
        <w:spacing w:line="580" w:lineRule="exact"/>
        <w:rPr>
          <w:rFonts w:ascii="楷体_GB2312" w:hAnsi="楷体" w:eastAsia="楷体_GB2312" w:cs="楷体_GB2312"/>
          <w:b/>
          <w:sz w:val="32"/>
          <w:szCs w:val="32"/>
        </w:rPr>
      </w:pPr>
      <w:r>
        <w:rPr>
          <w:rFonts w:hint="eastAsia" w:ascii="楷体_GB2312" w:hAnsi="楷体" w:eastAsia="楷体_GB2312" w:cs="楷体_GB2312"/>
          <w:b/>
          <w:sz w:val="32"/>
          <w:szCs w:val="32"/>
        </w:rPr>
        <w:t>项目单位（盖章）：</w:t>
      </w:r>
      <w:r>
        <w:rPr>
          <w:rFonts w:hint="eastAsia" w:ascii="楷体_GB2312" w:hAnsi="楷体" w:eastAsia="楷体_GB2312" w:cs="楷体_GB2312"/>
          <w:b/>
          <w:sz w:val="32"/>
          <w:szCs w:val="32"/>
          <w:lang w:eastAsia="zh-CN"/>
        </w:rPr>
        <w:t>湖北城市职业学校</w:t>
      </w:r>
      <w:r>
        <w:rPr>
          <w:rFonts w:ascii="楷体_GB2312" w:hAnsi="楷体" w:eastAsia="楷体_GB2312" w:cs="楷体_GB2312"/>
          <w:b/>
          <w:sz w:val="32"/>
          <w:szCs w:val="32"/>
        </w:rPr>
        <w:t xml:space="preserve"> </w:t>
      </w:r>
      <w:r>
        <w:rPr>
          <w:rFonts w:hint="eastAsia" w:ascii="楷体_GB2312" w:hAnsi="楷体" w:eastAsia="楷体_GB2312" w:cs="楷体_GB2312"/>
          <w:b/>
          <w:sz w:val="32"/>
          <w:szCs w:val="32"/>
        </w:rPr>
        <w:t>主要领导签字：</w:t>
      </w:r>
    </w:p>
    <w:p>
      <w:pPr>
        <w:widowControl/>
        <w:snapToGrid w:val="0"/>
        <w:spacing w:line="580" w:lineRule="exact"/>
        <w:jc w:val="left"/>
        <w:rPr>
          <w:rFonts w:hint="default" w:ascii="楷体_GB2312" w:hAnsi="楷体" w:eastAsia="楷体_GB2312" w:cs="楷体_GB2312"/>
          <w:b/>
          <w:sz w:val="32"/>
          <w:szCs w:val="32"/>
          <w:lang w:val="en-US" w:eastAsia="zh-CN"/>
        </w:rPr>
      </w:pPr>
      <w:r>
        <w:rPr>
          <w:rFonts w:hint="eastAsia" w:ascii="楷体_GB2312" w:hAnsi="楷体" w:eastAsia="楷体_GB2312" w:cs="楷体_GB2312"/>
          <w:b/>
          <w:sz w:val="32"/>
          <w:szCs w:val="32"/>
        </w:rPr>
        <w:t>填报日期：</w:t>
      </w:r>
      <w:r>
        <w:rPr>
          <w:rFonts w:hint="eastAsia" w:ascii="楷体_GB2312" w:hAnsi="楷体" w:eastAsia="楷体_GB2312" w:cs="楷体_GB2312"/>
          <w:b/>
          <w:sz w:val="32"/>
          <w:szCs w:val="32"/>
          <w:lang w:val="en-US" w:eastAsia="zh-CN"/>
        </w:rPr>
        <w:t>2022.05.26</w:t>
      </w:r>
    </w:p>
    <w:tbl>
      <w:tblPr>
        <w:tblStyle w:val="5"/>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247"/>
        <w:gridCol w:w="995"/>
        <w:gridCol w:w="280"/>
        <w:gridCol w:w="1580"/>
        <w:gridCol w:w="660"/>
        <w:gridCol w:w="659"/>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项目名称</w:t>
            </w:r>
          </w:p>
        </w:tc>
        <w:tc>
          <w:tcPr>
            <w:tcW w:w="7420" w:type="dxa"/>
            <w:gridSpan w:val="8"/>
            <w:vAlign w:val="center"/>
          </w:tcPr>
          <w:p>
            <w:pPr>
              <w:widowControl/>
              <w:snapToGrid w:val="0"/>
              <w:jc w:val="center"/>
              <w:rPr>
                <w:rFonts w:ascii="仿宋_GB2312" w:hAnsi="宋体" w:eastAsia="仿宋_GB2312"/>
                <w:kern w:val="0"/>
              </w:rPr>
            </w:pPr>
            <w:bookmarkStart w:id="0" w:name="_GoBack"/>
            <w:bookmarkEnd w:id="0"/>
            <w:r>
              <w:rPr>
                <w:rFonts w:hint="eastAsia" w:ascii="方正大标宋简体" w:hAnsi="宋体" w:eastAsia="方正大标宋简体" w:cs="方正小标宋简体"/>
                <w:sz w:val="21"/>
                <w:szCs w:val="21"/>
              </w:rPr>
              <w:t>职业教育专项经费</w:t>
            </w:r>
            <w:r>
              <w:rPr>
                <w:rFonts w:hint="eastAsia" w:ascii="仿宋_GB2312" w:hAnsi="宋体" w:eastAsia="仿宋_GB2312" w:cs="仿宋_GB2312"/>
                <w:kern w:val="0"/>
                <w:sz w:val="30"/>
                <w:szCs w:val="3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主管部门</w:t>
            </w:r>
          </w:p>
        </w:tc>
        <w:tc>
          <w:tcPr>
            <w:tcW w:w="3364" w:type="dxa"/>
            <w:gridSpan w:val="3"/>
            <w:vAlign w:val="center"/>
          </w:tcPr>
          <w:p>
            <w:pPr>
              <w:widowControl/>
              <w:snapToGrid w:val="0"/>
              <w:jc w:val="left"/>
              <w:rPr>
                <w:rFonts w:ascii="仿宋_GB2312" w:hAnsi="宋体" w:eastAsia="仿宋_GB2312"/>
                <w:kern w:val="0"/>
              </w:rPr>
            </w:pPr>
            <w:r>
              <w:rPr>
                <w:rFonts w:hint="eastAsia" w:ascii="仿宋_GB2312" w:hAnsi="宋体" w:eastAsia="仿宋_GB2312" w:cs="Times New Roman"/>
                <w:kern w:val="0"/>
                <w:lang w:eastAsia="zh-CN"/>
              </w:rPr>
              <w:t>鄂东职教集团</w:t>
            </w:r>
          </w:p>
        </w:tc>
        <w:tc>
          <w:tcPr>
            <w:tcW w:w="2520"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项目实施单位</w:t>
            </w:r>
          </w:p>
        </w:tc>
        <w:tc>
          <w:tcPr>
            <w:tcW w:w="1536"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lang w:eastAsia="zh-CN"/>
              </w:rPr>
              <w:t>湖北城市职业学校</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项目类别</w:t>
            </w:r>
          </w:p>
        </w:tc>
        <w:tc>
          <w:tcPr>
            <w:tcW w:w="7420" w:type="dxa"/>
            <w:gridSpan w:val="8"/>
            <w:vAlign w:val="center"/>
          </w:tcPr>
          <w:p>
            <w:pPr>
              <w:widowControl/>
              <w:snapToGrid w:val="0"/>
              <w:jc w:val="left"/>
              <w:rPr>
                <w:rFonts w:hint="eastAsia" w:ascii="仿宋_GB2312" w:hAnsi="宋体" w:eastAsia="仿宋_GB2312"/>
                <w:kern w:val="0"/>
                <w:lang w:eastAsia="zh-CN"/>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、市直专项</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项目属性</w:t>
            </w:r>
          </w:p>
        </w:tc>
        <w:tc>
          <w:tcPr>
            <w:tcW w:w="7420" w:type="dxa"/>
            <w:gridSpan w:val="8"/>
            <w:vAlign w:val="center"/>
          </w:tcPr>
          <w:p>
            <w:pPr>
              <w:widowControl/>
              <w:snapToGrid w:val="0"/>
              <w:jc w:val="left"/>
              <w:rPr>
                <w:rFonts w:hint="eastAsia" w:ascii="仿宋_GB2312" w:hAnsi="宋体" w:eastAsia="仿宋_GB2312" w:cs="仿宋_GB2312"/>
                <w:kern w:val="0"/>
                <w:lang w:eastAsia="zh-CN"/>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项目类型</w:t>
            </w:r>
          </w:p>
        </w:tc>
        <w:tc>
          <w:tcPr>
            <w:tcW w:w="7420" w:type="dxa"/>
            <w:gridSpan w:val="8"/>
            <w:vAlign w:val="center"/>
          </w:tcPr>
          <w:p>
            <w:pPr>
              <w:widowControl/>
              <w:snapToGrid w:val="0"/>
              <w:jc w:val="left"/>
              <w:rPr>
                <w:rFonts w:hint="eastAsia" w:ascii="仿宋_GB2312" w:hAnsi="宋体" w:eastAsia="仿宋_GB2312"/>
                <w:kern w:val="0"/>
                <w:lang w:eastAsia="zh-CN"/>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预算执行情况（万元）</w:t>
            </w:r>
          </w:p>
          <w:p>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p>
        </w:tc>
        <w:tc>
          <w:tcPr>
            <w:tcW w:w="1122" w:type="dxa"/>
            <w:vAlign w:val="center"/>
          </w:tcPr>
          <w:p>
            <w:pPr>
              <w:widowControl/>
              <w:snapToGrid w:val="0"/>
              <w:jc w:val="center"/>
              <w:rPr>
                <w:rFonts w:ascii="仿宋_GB2312" w:hAnsi="宋体" w:eastAsia="仿宋_GB2312"/>
                <w:kern w:val="0"/>
              </w:rPr>
            </w:pPr>
          </w:p>
        </w:tc>
        <w:tc>
          <w:tcPr>
            <w:tcW w:w="1247"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275"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1580"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c>
          <w:tcPr>
            <w:tcW w:w="2196"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得分</w:t>
            </w:r>
          </w:p>
          <w:p>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ascii="仿宋_GB2312" w:hAnsi="宋体" w:eastAsia="仿宋_GB2312" w:cs="仿宋_GB2312"/>
                <w:kern w:val="0"/>
              </w:rPr>
              <w:t>20</w:t>
            </w:r>
            <w:r>
              <w:rPr>
                <w:rFonts w:hint="eastAsia" w:ascii="仿宋_GB2312" w:hAnsi="宋体" w:eastAsia="仿宋_GB2312" w:cs="仿宋_GB2312"/>
                <w:kern w:val="0"/>
              </w:rPr>
              <w:t>分</w:t>
            </w:r>
            <w:r>
              <w:rPr>
                <w:rFonts w:ascii="仿宋_GB2312" w:hAnsi="宋体" w:eastAsia="仿宋_GB2312" w:cs="仿宋_GB2312"/>
                <w:kern w:val="0"/>
              </w:rPr>
              <w:t>*</w:t>
            </w:r>
            <w:r>
              <w:rPr>
                <w:rFonts w:hint="eastAsia" w:ascii="仿宋_GB2312" w:hAnsi="宋体" w:eastAsia="仿宋_GB2312" w:cs="仿宋_GB2312"/>
                <w:kern w:val="0"/>
              </w:rPr>
              <w:t>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pPr>
              <w:widowControl/>
              <w:snapToGrid w:val="0"/>
              <w:jc w:val="center"/>
              <w:rPr>
                <w:rFonts w:ascii="仿宋_GB2312" w:hAnsi="宋体" w:eastAsia="仿宋_GB2312"/>
                <w:kern w:val="0"/>
              </w:rPr>
            </w:pPr>
          </w:p>
        </w:tc>
        <w:tc>
          <w:tcPr>
            <w:tcW w:w="1122"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年度财政资金总额</w:t>
            </w:r>
          </w:p>
        </w:tc>
        <w:tc>
          <w:tcPr>
            <w:tcW w:w="1247"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200</w:t>
            </w:r>
          </w:p>
        </w:tc>
        <w:tc>
          <w:tcPr>
            <w:tcW w:w="1275" w:type="dxa"/>
            <w:gridSpan w:val="2"/>
            <w:vAlign w:val="center"/>
          </w:tcPr>
          <w:p>
            <w:pPr>
              <w:widowControl/>
              <w:snapToGrid w:val="0"/>
              <w:jc w:val="center"/>
              <w:rPr>
                <w:rFonts w:hint="default" w:ascii="仿宋_GB2312" w:hAnsi="宋体" w:eastAsia="仿宋_GB2312"/>
                <w:kern w:val="0"/>
                <w:lang w:val="en-US"/>
              </w:rPr>
            </w:pPr>
            <w:r>
              <w:rPr>
                <w:rFonts w:hint="eastAsia" w:ascii="仿宋_GB2312" w:hAnsi="宋体" w:eastAsia="仿宋_GB2312" w:cs="Times New Roman"/>
                <w:kern w:val="0"/>
                <w:lang w:val="en-US" w:eastAsia="zh-CN"/>
              </w:rPr>
              <w:t>200</w:t>
            </w:r>
          </w:p>
        </w:tc>
        <w:tc>
          <w:tcPr>
            <w:tcW w:w="1580"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100%</w:t>
            </w:r>
          </w:p>
        </w:tc>
        <w:tc>
          <w:tcPr>
            <w:tcW w:w="2196" w:type="dxa"/>
            <w:gridSpan w:val="3"/>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28" w:type="dxa"/>
            <w:vMerge w:val="restart"/>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p>
          <w:p>
            <w:pPr>
              <w:widowControl/>
              <w:snapToGrid w:val="0"/>
              <w:jc w:val="center"/>
              <w:rPr>
                <w:rFonts w:ascii="仿宋_GB2312" w:hAnsi="宋体" w:eastAsia="仿宋_GB2312"/>
                <w:kern w:val="0"/>
              </w:rPr>
            </w:pPr>
            <w:r>
              <w:rPr>
                <w:rFonts w:hint="eastAsia" w:ascii="仿宋_GB2312" w:hAnsi="宋体" w:eastAsia="仿宋_GB2312" w:cs="仿宋_GB2312"/>
                <w:kern w:val="0"/>
              </w:rPr>
              <w:t>（</w:t>
            </w:r>
            <w:r>
              <w:rPr>
                <w:rFonts w:hint="eastAsia" w:ascii="仿宋_GB2312" w:hAnsi="宋体" w:eastAsia="仿宋_GB2312" w:cs="仿宋_GB2312"/>
                <w:kern w:val="0"/>
                <w:sz w:val="20"/>
                <w:szCs w:val="20"/>
                <w:lang w:val="en-US" w:eastAsia="zh-CN"/>
              </w:rPr>
              <w:t>80</w:t>
            </w:r>
            <w:r>
              <w:rPr>
                <w:rFonts w:hint="eastAsia" w:ascii="仿宋_GB2312" w:hAnsi="宋体" w:eastAsia="仿宋_GB2312" w:cs="仿宋_GB2312"/>
                <w:kern w:val="0"/>
              </w:rPr>
              <w:t>分）</w:t>
            </w:r>
          </w:p>
        </w:tc>
        <w:tc>
          <w:tcPr>
            <w:tcW w:w="700" w:type="dxa"/>
            <w:vAlign w:val="center"/>
          </w:tcPr>
          <w:p>
            <w:pPr>
              <w:snapToGrid w:val="0"/>
              <w:jc w:val="center"/>
              <w:rPr>
                <w:rFonts w:ascii="仿宋_GB2312" w:hAnsi="宋体" w:eastAsia="仿宋_GB2312"/>
                <w:kern w:val="0"/>
              </w:rPr>
            </w:pPr>
            <w:r>
              <w:rPr>
                <w:rFonts w:hint="eastAsia" w:ascii="仿宋_GB2312" w:hAnsi="宋体" w:eastAsia="仿宋_GB2312" w:cs="仿宋_GB2312"/>
                <w:kern w:val="0"/>
              </w:rPr>
              <w:t>一级指标</w:t>
            </w:r>
          </w:p>
        </w:tc>
        <w:tc>
          <w:tcPr>
            <w:tcW w:w="1122"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二级指标</w:t>
            </w:r>
          </w:p>
        </w:tc>
        <w:tc>
          <w:tcPr>
            <w:tcW w:w="2522" w:type="dxa"/>
            <w:gridSpan w:val="3"/>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三级指标</w:t>
            </w:r>
          </w:p>
        </w:tc>
        <w:tc>
          <w:tcPr>
            <w:tcW w:w="1580"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319" w:type="dxa"/>
            <w:gridSpan w:val="2"/>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c>
          <w:tcPr>
            <w:tcW w:w="877"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restart"/>
            <w:vAlign w:val="center"/>
          </w:tcPr>
          <w:p>
            <w:pPr>
              <w:snapToGrid w:val="0"/>
              <w:jc w:val="center"/>
              <w:rPr>
                <w:rFonts w:ascii="仿宋_GB2312" w:hAnsi="宋体" w:eastAsia="仿宋_GB2312"/>
                <w:kern w:val="0"/>
              </w:rPr>
            </w:pPr>
            <w:r>
              <w:rPr>
                <w:rFonts w:hint="eastAsia" w:ascii="仿宋_GB2312" w:hAnsi="宋体" w:eastAsia="仿宋_GB2312" w:cs="仿宋_GB2312"/>
                <w:kern w:val="0"/>
              </w:rPr>
              <w:t>产出指标</w:t>
            </w:r>
          </w:p>
        </w:tc>
        <w:tc>
          <w:tcPr>
            <w:tcW w:w="1122" w:type="dxa"/>
            <w:vMerge w:val="restart"/>
            <w:vAlign w:val="center"/>
          </w:tcPr>
          <w:p>
            <w:pPr>
              <w:widowControl/>
              <w:snapToGrid w:val="0"/>
              <w:jc w:val="center"/>
              <w:rPr>
                <w:rFonts w:hint="eastAsia"/>
                <w:sz w:val="20"/>
                <w:szCs w:val="20"/>
              </w:rPr>
            </w:pPr>
            <w:r>
              <w:rPr>
                <w:rFonts w:hint="eastAsia"/>
                <w:sz w:val="20"/>
                <w:szCs w:val="20"/>
              </w:rPr>
              <w:t>数量指标</w:t>
            </w:r>
          </w:p>
          <w:p>
            <w:pPr>
              <w:widowControl/>
              <w:snapToGrid w:val="0"/>
              <w:jc w:val="center"/>
              <w:rPr>
                <w:rFonts w:ascii="仿宋_GB2312" w:hAnsi="宋体" w:eastAsia="仿宋_GB2312"/>
                <w:kern w:val="0"/>
              </w:rPr>
            </w:pPr>
          </w:p>
        </w:tc>
        <w:tc>
          <w:tcPr>
            <w:tcW w:w="2522" w:type="dxa"/>
            <w:gridSpan w:val="3"/>
            <w:vAlign w:val="center"/>
          </w:tcPr>
          <w:p>
            <w:pPr>
              <w:widowControl/>
              <w:tabs>
                <w:tab w:val="left" w:pos="404"/>
              </w:tabs>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机器人拆装与焊接实训室室新增设备</w:t>
            </w:r>
          </w:p>
        </w:tc>
        <w:tc>
          <w:tcPr>
            <w:tcW w:w="1580"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lang w:val="en-US" w:eastAsia="zh-CN"/>
              </w:rPr>
              <w:t>7台</w:t>
            </w:r>
          </w:p>
        </w:tc>
        <w:tc>
          <w:tcPr>
            <w:tcW w:w="1319"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lang w:val="en-US" w:eastAsia="zh-CN"/>
              </w:rPr>
              <w:t>7台</w:t>
            </w:r>
          </w:p>
        </w:tc>
        <w:tc>
          <w:tcPr>
            <w:tcW w:w="877" w:type="dxa"/>
            <w:vMerge w:val="restart"/>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Merge w:val="continue"/>
            <w:vAlign w:val="center"/>
          </w:tcPr>
          <w:p>
            <w:pPr>
              <w:widowControl/>
              <w:snapToGrid w:val="0"/>
              <w:jc w:val="center"/>
              <w:rPr>
                <w:rFonts w:ascii="仿宋_GB2312" w:hAnsi="宋体" w:eastAsia="仿宋_GB2312"/>
                <w:kern w:val="0"/>
              </w:rPr>
            </w:pPr>
          </w:p>
        </w:tc>
        <w:tc>
          <w:tcPr>
            <w:tcW w:w="2522" w:type="dxa"/>
            <w:gridSpan w:val="3"/>
            <w:vAlign w:val="center"/>
          </w:tcPr>
          <w:p>
            <w:pPr>
              <w:widowControl/>
              <w:tabs>
                <w:tab w:val="left" w:pos="404"/>
              </w:tabs>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教育质量提升聘任专兼职教师</w:t>
            </w:r>
          </w:p>
        </w:tc>
        <w:tc>
          <w:tcPr>
            <w:tcW w:w="1580" w:type="dxa"/>
            <w:vAlign w:val="center"/>
          </w:tcPr>
          <w:p>
            <w:pPr>
              <w:widowControl/>
              <w:snapToGrid w:val="0"/>
              <w:jc w:val="center"/>
              <w:rPr>
                <w:rFonts w:ascii="仿宋_GB2312" w:hAnsi="宋体" w:eastAsia="仿宋_GB2312"/>
                <w:kern w:val="0"/>
              </w:rPr>
            </w:pPr>
            <w:r>
              <w:rPr>
                <w:rFonts w:hint="eastAsia"/>
                <w:sz w:val="20"/>
                <w:szCs w:val="20"/>
              </w:rPr>
              <w:t>约</w:t>
            </w:r>
            <w:r>
              <w:rPr>
                <w:rFonts w:hint="eastAsia"/>
                <w:sz w:val="20"/>
                <w:szCs w:val="20"/>
                <w:lang w:val="en-US" w:eastAsia="zh-CN"/>
              </w:rPr>
              <w:t>8</w:t>
            </w:r>
            <w:r>
              <w:rPr>
                <w:rFonts w:hint="eastAsia"/>
                <w:sz w:val="20"/>
                <w:szCs w:val="20"/>
              </w:rPr>
              <w:t>0人</w:t>
            </w:r>
          </w:p>
        </w:tc>
        <w:tc>
          <w:tcPr>
            <w:tcW w:w="1319"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kern w:val="0"/>
                <w:lang w:val="en-US" w:eastAsia="zh-CN"/>
              </w:rPr>
              <w:t>8</w:t>
            </w:r>
            <w:r>
              <w:rPr>
                <w:rFonts w:hint="eastAsia" w:ascii="仿宋_GB2312" w:hAnsi="宋体" w:eastAsia="仿宋_GB2312"/>
                <w:kern w:val="0"/>
              </w:rPr>
              <w:t>0人</w:t>
            </w:r>
          </w:p>
        </w:tc>
        <w:tc>
          <w:tcPr>
            <w:tcW w:w="877" w:type="dxa"/>
            <w:vMerge w:val="continue"/>
            <w:vAlign w:val="center"/>
          </w:tcPr>
          <w:p>
            <w:pPr>
              <w:widowControl/>
              <w:snapToGrid w:val="0"/>
              <w:jc w:val="center"/>
              <w:rPr>
                <w:rFonts w:ascii="仿宋_GB2312" w:hAnsi="宋体"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Merge w:val="continue"/>
            <w:vAlign w:val="center"/>
          </w:tcPr>
          <w:p>
            <w:pPr>
              <w:widowControl/>
              <w:snapToGrid w:val="0"/>
              <w:jc w:val="center"/>
              <w:rPr>
                <w:rFonts w:ascii="仿宋_GB2312" w:hAnsi="宋体" w:eastAsia="仿宋_GB2312"/>
                <w:kern w:val="0"/>
              </w:rPr>
            </w:pPr>
          </w:p>
        </w:tc>
        <w:tc>
          <w:tcPr>
            <w:tcW w:w="2522" w:type="dxa"/>
            <w:gridSpan w:val="3"/>
            <w:vAlign w:val="center"/>
          </w:tcPr>
          <w:p>
            <w:pPr>
              <w:widowControl/>
              <w:tabs>
                <w:tab w:val="left" w:pos="404"/>
              </w:tabs>
              <w:snapToGrid w:val="0"/>
              <w:jc w:val="center"/>
              <w:rPr>
                <w:rFonts w:hint="eastAsia" w:ascii="仿宋_GB2312" w:hAnsi="宋体" w:eastAsia="仿宋_GB2312"/>
                <w:kern w:val="0"/>
                <w:lang w:eastAsia="zh-CN"/>
              </w:rPr>
            </w:pPr>
            <w:r>
              <w:rPr>
                <w:rFonts w:hint="eastAsia" w:ascii="仿宋_GB2312" w:hAnsi="宋体" w:eastAsia="仿宋_GB2312"/>
                <w:kern w:val="0"/>
                <w:lang w:val="en-US" w:eastAsia="zh-CN"/>
              </w:rPr>
              <w:t>配备专职保安人数</w:t>
            </w:r>
          </w:p>
        </w:tc>
        <w:tc>
          <w:tcPr>
            <w:tcW w:w="1580" w:type="dxa"/>
            <w:vAlign w:val="center"/>
          </w:tcPr>
          <w:p>
            <w:pPr>
              <w:widowControl/>
              <w:snapToGrid w:val="0"/>
              <w:jc w:val="center"/>
              <w:rPr>
                <w:rFonts w:hint="eastAsia"/>
                <w:sz w:val="20"/>
                <w:szCs w:val="20"/>
              </w:rPr>
            </w:pPr>
            <w:r>
              <w:rPr>
                <w:rFonts w:hint="eastAsia"/>
                <w:sz w:val="20"/>
                <w:szCs w:val="20"/>
                <w:lang w:val="en-US" w:eastAsia="zh-CN"/>
              </w:rPr>
              <w:t>约36人</w:t>
            </w:r>
          </w:p>
        </w:tc>
        <w:tc>
          <w:tcPr>
            <w:tcW w:w="1319" w:type="dxa"/>
            <w:gridSpan w:val="2"/>
            <w:vAlign w:val="center"/>
          </w:tcPr>
          <w:p>
            <w:pPr>
              <w:widowControl/>
              <w:snapToGrid w:val="0"/>
              <w:jc w:val="center"/>
              <w:rPr>
                <w:rFonts w:hint="eastAsia" w:ascii="仿宋_GB2312" w:hAnsi="宋体" w:eastAsia="仿宋_GB2312"/>
                <w:kern w:val="0"/>
              </w:rPr>
            </w:pPr>
            <w:r>
              <w:rPr>
                <w:rFonts w:hint="eastAsia"/>
                <w:sz w:val="20"/>
                <w:szCs w:val="20"/>
                <w:lang w:val="en-US" w:eastAsia="zh-CN"/>
              </w:rPr>
              <w:t>36人</w:t>
            </w:r>
          </w:p>
        </w:tc>
        <w:tc>
          <w:tcPr>
            <w:tcW w:w="877" w:type="dxa"/>
            <w:vMerge w:val="continue"/>
            <w:vAlign w:val="center"/>
          </w:tcPr>
          <w:p>
            <w:pPr>
              <w:widowControl/>
              <w:snapToGrid w:val="0"/>
              <w:jc w:val="center"/>
              <w:rPr>
                <w:rFonts w:ascii="仿宋_GB2312" w:hAnsi="宋体"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质量指标</w:t>
            </w:r>
          </w:p>
        </w:tc>
        <w:tc>
          <w:tcPr>
            <w:tcW w:w="2522" w:type="dxa"/>
            <w:gridSpan w:val="3"/>
            <w:vAlign w:val="center"/>
          </w:tcPr>
          <w:p>
            <w:pPr>
              <w:widowControl/>
              <w:tabs>
                <w:tab w:val="left" w:pos="404"/>
              </w:tabs>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实训室及维修工程验收合格率</w:t>
            </w:r>
          </w:p>
        </w:tc>
        <w:tc>
          <w:tcPr>
            <w:tcW w:w="1580" w:type="dxa"/>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1319"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877"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时效指标</w:t>
            </w:r>
          </w:p>
        </w:tc>
        <w:tc>
          <w:tcPr>
            <w:tcW w:w="2522" w:type="dxa"/>
            <w:gridSpan w:val="3"/>
            <w:vAlign w:val="center"/>
          </w:tcPr>
          <w:p>
            <w:pPr>
              <w:widowControl/>
              <w:tabs>
                <w:tab w:val="left" w:pos="404"/>
              </w:tabs>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完工及时率</w:t>
            </w:r>
          </w:p>
        </w:tc>
        <w:tc>
          <w:tcPr>
            <w:tcW w:w="1580" w:type="dxa"/>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1319"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877"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Align w:val="center"/>
          </w:tcPr>
          <w:p>
            <w:pPr>
              <w:keepNext w:val="0"/>
              <w:keepLines w:val="0"/>
              <w:widowControl/>
              <w:suppressLineNumbers w:val="0"/>
              <w:jc w:val="center"/>
              <w:textAlignment w:val="center"/>
              <w:rPr>
                <w:rFonts w:hint="eastAsia" w:ascii="仿宋_GB2312" w:hAnsi="宋体" w:eastAsia="仿宋_GB2312" w:cs="仿宋_GB2312"/>
                <w:b/>
                <w:bCs/>
                <w:kern w:val="0"/>
              </w:rPr>
            </w:pPr>
            <w:r>
              <w:rPr>
                <w:rFonts w:hint="eastAsia" w:ascii="仿宋" w:hAnsi="仿宋" w:eastAsia="仿宋" w:cs="仿宋"/>
                <w:i w:val="0"/>
                <w:color w:val="000000"/>
                <w:kern w:val="0"/>
                <w:sz w:val="22"/>
                <w:szCs w:val="22"/>
                <w:u w:val="none"/>
                <w:lang w:val="en-US" w:eastAsia="zh-CN" w:bidi="ar"/>
              </w:rPr>
              <w:t>成本指标</w:t>
            </w:r>
          </w:p>
        </w:tc>
        <w:tc>
          <w:tcPr>
            <w:tcW w:w="2522" w:type="dxa"/>
            <w:gridSpan w:val="3"/>
            <w:vAlign w:val="center"/>
          </w:tcPr>
          <w:p>
            <w:pPr>
              <w:widowControl/>
              <w:tabs>
                <w:tab w:val="left" w:pos="404"/>
              </w:tabs>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资金使用率</w:t>
            </w:r>
          </w:p>
        </w:tc>
        <w:tc>
          <w:tcPr>
            <w:tcW w:w="1580" w:type="dxa"/>
            <w:vAlign w:val="center"/>
          </w:tcPr>
          <w:p>
            <w:pPr>
              <w:widowControl/>
              <w:snapToGrid w:val="0"/>
              <w:jc w:val="center"/>
              <w:rPr>
                <w:rFonts w:hint="eastAsia" w:ascii="仿宋_GB2312" w:hAnsi="宋体" w:eastAsia="仿宋_GB2312"/>
                <w:kern w:val="0"/>
              </w:rPr>
            </w:pPr>
            <w:r>
              <w:rPr>
                <w:rFonts w:hint="eastAsia" w:ascii="仿宋_GB2312" w:hAnsi="宋体" w:eastAsia="仿宋_GB2312"/>
                <w:kern w:val="0"/>
              </w:rPr>
              <w:t>100%</w:t>
            </w:r>
          </w:p>
        </w:tc>
        <w:tc>
          <w:tcPr>
            <w:tcW w:w="1319" w:type="dxa"/>
            <w:gridSpan w:val="2"/>
            <w:vAlign w:val="center"/>
          </w:tcPr>
          <w:p>
            <w:pPr>
              <w:widowControl/>
              <w:snapToGrid w:val="0"/>
              <w:jc w:val="center"/>
              <w:rPr>
                <w:rFonts w:hint="eastAsia" w:ascii="仿宋_GB2312" w:hAnsi="宋体" w:eastAsia="仿宋_GB2312"/>
                <w:kern w:val="0"/>
              </w:rPr>
            </w:pPr>
            <w:r>
              <w:rPr>
                <w:rFonts w:hint="eastAsia" w:ascii="仿宋_GB2312" w:hAnsi="宋体" w:eastAsia="仿宋_GB2312"/>
                <w:kern w:val="0"/>
              </w:rPr>
              <w:t>100%</w:t>
            </w:r>
          </w:p>
        </w:tc>
        <w:tc>
          <w:tcPr>
            <w:tcW w:w="877" w:type="dxa"/>
            <w:vAlign w:val="center"/>
          </w:tcPr>
          <w:p>
            <w:pPr>
              <w:widowControl/>
              <w:snapToGrid w:val="0"/>
              <w:jc w:val="center"/>
              <w:rPr>
                <w:rFonts w:hint="eastAsia" w:ascii="仿宋_GB2312" w:hAnsi="宋体" w:eastAsia="仿宋_GB2312"/>
                <w:kern w:val="0"/>
                <w:lang w:val="en-US" w:eastAsia="zh-CN"/>
              </w:rPr>
            </w:pPr>
            <w:r>
              <w:rPr>
                <w:rFonts w:hint="eastAsia" w:ascii="仿宋_GB2312" w:hAnsi="宋体" w:eastAsia="仿宋_GB2312"/>
                <w:kern w:val="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kern w:val="0"/>
              </w:rPr>
            </w:pPr>
          </w:p>
        </w:tc>
        <w:tc>
          <w:tcPr>
            <w:tcW w:w="700" w:type="dxa"/>
            <w:vMerge w:val="restart"/>
            <w:vAlign w:val="center"/>
          </w:tcPr>
          <w:p>
            <w:pPr>
              <w:snapToGrid w:val="0"/>
              <w:jc w:val="center"/>
              <w:rPr>
                <w:rFonts w:ascii="仿宋_GB2312" w:hAnsi="宋体" w:eastAsia="仿宋_GB2312"/>
                <w:kern w:val="0"/>
              </w:rPr>
            </w:pPr>
            <w:r>
              <w:rPr>
                <w:rFonts w:hint="eastAsia" w:ascii="仿宋_GB2312" w:hAnsi="宋体" w:eastAsia="仿宋_GB2312" w:cs="仿宋_GB2312"/>
                <w:kern w:val="0"/>
              </w:rPr>
              <w:t>效益指标</w:t>
            </w:r>
          </w:p>
        </w:tc>
        <w:tc>
          <w:tcPr>
            <w:tcW w:w="1122" w:type="dxa"/>
            <w:vAlign w:val="center"/>
          </w:tcPr>
          <w:p>
            <w:pPr>
              <w:keepNext w:val="0"/>
              <w:keepLines w:val="0"/>
              <w:widowControl/>
              <w:suppressLineNumbers w:val="0"/>
              <w:jc w:val="center"/>
              <w:textAlignment w:val="center"/>
              <w:rPr>
                <w:rFonts w:ascii="仿宋_GB2312" w:hAnsi="宋体" w:eastAsia="仿宋_GB2312"/>
                <w:kern w:val="0"/>
              </w:rPr>
            </w:pPr>
            <w:r>
              <w:rPr>
                <w:rFonts w:hint="eastAsia" w:ascii="仿宋_GB2312" w:hAnsi="宋体" w:eastAsia="仿宋_GB2312"/>
                <w:kern w:val="0"/>
              </w:rPr>
              <w:t>经济效益指标</w:t>
            </w:r>
          </w:p>
        </w:tc>
        <w:tc>
          <w:tcPr>
            <w:tcW w:w="2522" w:type="dxa"/>
            <w:gridSpan w:val="3"/>
            <w:vAlign w:val="center"/>
          </w:tcPr>
          <w:p>
            <w:pPr>
              <w:widowControl/>
              <w:tabs>
                <w:tab w:val="left" w:pos="404"/>
              </w:tabs>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项目完成后年收入</w:t>
            </w:r>
          </w:p>
        </w:tc>
        <w:tc>
          <w:tcPr>
            <w:tcW w:w="1580" w:type="dxa"/>
            <w:vAlign w:val="center"/>
          </w:tcPr>
          <w:p>
            <w:pPr>
              <w:widowControl/>
              <w:snapToGrid w:val="0"/>
              <w:jc w:val="center"/>
              <w:rPr>
                <w:rFonts w:ascii="仿宋_GB2312" w:hAnsi="宋体" w:eastAsia="仿宋_GB2312"/>
                <w:kern w:val="0"/>
              </w:rPr>
            </w:pPr>
            <w:r>
              <w:rPr>
                <w:rFonts w:hint="eastAsia"/>
              </w:rPr>
              <w:t>≥1100万元</w:t>
            </w:r>
          </w:p>
        </w:tc>
        <w:tc>
          <w:tcPr>
            <w:tcW w:w="1319" w:type="dxa"/>
            <w:gridSpan w:val="2"/>
            <w:vAlign w:val="center"/>
          </w:tcPr>
          <w:p>
            <w:pPr>
              <w:widowControl/>
              <w:snapToGrid w:val="0"/>
              <w:jc w:val="center"/>
              <w:rPr>
                <w:rFonts w:ascii="仿宋_GB2312" w:hAnsi="宋体" w:eastAsia="仿宋_GB2312"/>
                <w:kern w:val="0"/>
              </w:rPr>
            </w:pPr>
            <w:r>
              <w:rPr>
                <w:rFonts w:hint="eastAsia"/>
              </w:rPr>
              <w:t>≥1100万元</w:t>
            </w:r>
          </w:p>
        </w:tc>
        <w:tc>
          <w:tcPr>
            <w:tcW w:w="877" w:type="dxa"/>
            <w:vMerge w:val="restart"/>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社会效益指标</w:t>
            </w:r>
          </w:p>
        </w:tc>
        <w:tc>
          <w:tcPr>
            <w:tcW w:w="2522" w:type="dxa"/>
            <w:gridSpan w:val="3"/>
            <w:vAlign w:val="center"/>
          </w:tcPr>
          <w:p>
            <w:pPr>
              <w:widowControl/>
              <w:tabs>
                <w:tab w:val="left" w:pos="404"/>
              </w:tabs>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每年为黄石地方经济培养人才</w:t>
            </w:r>
          </w:p>
        </w:tc>
        <w:tc>
          <w:tcPr>
            <w:tcW w:w="1580" w:type="dxa"/>
            <w:vAlign w:val="center"/>
          </w:tcPr>
          <w:p>
            <w:pPr>
              <w:widowControl/>
              <w:snapToGrid w:val="0"/>
              <w:jc w:val="center"/>
              <w:rPr>
                <w:rFonts w:ascii="仿宋_GB2312" w:hAnsi="宋体" w:eastAsia="仿宋_GB2312"/>
                <w:kern w:val="0"/>
              </w:rPr>
            </w:pPr>
            <w:r>
              <w:rPr>
                <w:rFonts w:hint="eastAsia" w:ascii="仿宋_GB2312" w:hAnsi="宋体" w:eastAsia="仿宋_GB2312"/>
                <w:kern w:val="0"/>
              </w:rPr>
              <w:t>≥300人</w:t>
            </w:r>
          </w:p>
        </w:tc>
        <w:tc>
          <w:tcPr>
            <w:tcW w:w="1319"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kern w:val="0"/>
              </w:rPr>
              <w:t>≥300人</w:t>
            </w:r>
          </w:p>
        </w:tc>
        <w:tc>
          <w:tcPr>
            <w:tcW w:w="877" w:type="dxa"/>
            <w:vMerge w:val="continue"/>
            <w:vAlign w:val="center"/>
          </w:tcPr>
          <w:p>
            <w:pPr>
              <w:widowControl/>
              <w:snapToGrid w:val="0"/>
              <w:jc w:val="center"/>
              <w:rPr>
                <w:rFonts w:ascii="仿宋_GB2312" w:hAnsi="宋体"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Align w:val="center"/>
          </w:tcPr>
          <w:p>
            <w:pPr>
              <w:widowControl/>
              <w:snapToGrid w:val="0"/>
              <w:jc w:val="center"/>
              <w:rPr>
                <w:rFonts w:ascii="仿宋_GB2312" w:hAnsi="宋体" w:eastAsia="仿宋_GB2312"/>
                <w:kern w:val="0"/>
              </w:rPr>
            </w:pPr>
            <w:r>
              <w:rPr>
                <w:rFonts w:hint="eastAsia"/>
              </w:rPr>
              <w:t>环境效益指标</w:t>
            </w:r>
          </w:p>
        </w:tc>
        <w:tc>
          <w:tcPr>
            <w:tcW w:w="2522" w:type="dxa"/>
            <w:gridSpan w:val="3"/>
            <w:vAlign w:val="center"/>
          </w:tcPr>
          <w:p>
            <w:pPr>
              <w:widowControl/>
              <w:tabs>
                <w:tab w:val="left" w:pos="404"/>
              </w:tabs>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维修后保障师生安全率</w:t>
            </w:r>
          </w:p>
        </w:tc>
        <w:tc>
          <w:tcPr>
            <w:tcW w:w="1580" w:type="dxa"/>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1319"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877" w:type="dxa"/>
            <w:vMerge w:val="continue"/>
            <w:vAlign w:val="center"/>
          </w:tcPr>
          <w:p>
            <w:pPr>
              <w:widowControl/>
              <w:snapToGrid w:val="0"/>
              <w:jc w:val="center"/>
              <w:rPr>
                <w:rFonts w:ascii="仿宋_GB2312" w:hAnsi="宋体"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kern w:val="0"/>
              </w:rPr>
            </w:pPr>
          </w:p>
        </w:tc>
        <w:tc>
          <w:tcPr>
            <w:tcW w:w="700" w:type="dxa"/>
            <w:vMerge w:val="continue"/>
            <w:vAlign w:val="center"/>
          </w:tcPr>
          <w:p>
            <w:pPr>
              <w:widowControl/>
              <w:snapToGrid w:val="0"/>
              <w:jc w:val="center"/>
              <w:rPr>
                <w:rFonts w:ascii="仿宋_GB2312" w:hAnsi="宋体" w:eastAsia="仿宋_GB2312"/>
                <w:kern w:val="0"/>
              </w:rPr>
            </w:pPr>
          </w:p>
        </w:tc>
        <w:tc>
          <w:tcPr>
            <w:tcW w:w="1122" w:type="dxa"/>
            <w:vAlign w:val="center"/>
          </w:tcPr>
          <w:p>
            <w:pPr>
              <w:widowControl/>
              <w:snapToGrid w:val="0"/>
              <w:jc w:val="center"/>
              <w:rPr>
                <w:rFonts w:ascii="仿宋_GB2312" w:hAnsi="宋体" w:eastAsia="仿宋_GB2312"/>
                <w:kern w:val="0"/>
              </w:rPr>
            </w:pPr>
            <w:r>
              <w:rPr>
                <w:rFonts w:hint="eastAsia" w:ascii="仿宋_GB2312" w:hAnsi="宋体" w:eastAsia="仿宋_GB2312"/>
                <w:kern w:val="0"/>
              </w:rPr>
              <w:t>可持续影响指标</w:t>
            </w:r>
          </w:p>
        </w:tc>
        <w:tc>
          <w:tcPr>
            <w:tcW w:w="2522" w:type="dxa"/>
            <w:gridSpan w:val="3"/>
            <w:vAlign w:val="center"/>
          </w:tcPr>
          <w:p>
            <w:pPr>
              <w:widowControl/>
              <w:tabs>
                <w:tab w:val="left" w:pos="404"/>
              </w:tabs>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项目可持续性</w:t>
            </w:r>
          </w:p>
        </w:tc>
        <w:tc>
          <w:tcPr>
            <w:tcW w:w="1580" w:type="dxa"/>
            <w:vAlign w:val="center"/>
          </w:tcPr>
          <w:p>
            <w:pPr>
              <w:widowControl/>
              <w:snapToGrid w:val="0"/>
              <w:jc w:val="center"/>
              <w:rPr>
                <w:rFonts w:ascii="仿宋_GB2312" w:hAnsi="宋体" w:eastAsia="仿宋_GB2312"/>
                <w:kern w:val="0"/>
              </w:rPr>
            </w:pPr>
            <w:r>
              <w:rPr>
                <w:rFonts w:hint="eastAsia" w:ascii="仿宋_GB2312" w:hAnsi="宋体" w:eastAsia="仿宋_GB2312"/>
                <w:kern w:val="0"/>
              </w:rPr>
              <w:t>可持续</w:t>
            </w:r>
          </w:p>
        </w:tc>
        <w:tc>
          <w:tcPr>
            <w:tcW w:w="1319"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kern w:val="0"/>
              </w:rPr>
              <w:t>可持续</w:t>
            </w:r>
          </w:p>
        </w:tc>
        <w:tc>
          <w:tcPr>
            <w:tcW w:w="877" w:type="dxa"/>
            <w:vMerge w:val="continue"/>
            <w:vAlign w:val="center"/>
          </w:tcPr>
          <w:p>
            <w:pPr>
              <w:widowControl/>
              <w:snapToGrid w:val="0"/>
              <w:jc w:val="center"/>
              <w:rPr>
                <w:rFonts w:ascii="仿宋_GB2312" w:hAnsi="宋体"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pPr>
              <w:widowControl/>
              <w:snapToGrid w:val="0"/>
              <w:jc w:val="center"/>
              <w:rPr>
                <w:rFonts w:ascii="仿宋_GB2312" w:hAnsi="宋体" w:eastAsia="仿宋_GB2312"/>
                <w:kern w:val="0"/>
              </w:rPr>
            </w:pPr>
          </w:p>
        </w:tc>
        <w:tc>
          <w:tcPr>
            <w:tcW w:w="700" w:type="dxa"/>
            <w:vAlign w:val="center"/>
          </w:tcPr>
          <w:p>
            <w:pPr>
              <w:widowControl/>
              <w:snapToGrid w:val="0"/>
              <w:jc w:val="center"/>
              <w:rPr>
                <w:rFonts w:ascii="仿宋_GB2312" w:hAnsi="宋体" w:eastAsia="仿宋_GB2312"/>
                <w:kern w:val="0"/>
              </w:rPr>
            </w:pPr>
            <w:r>
              <w:rPr>
                <w:rFonts w:hint="eastAsia" w:ascii="仿宋_GB2312" w:hAnsi="宋体" w:eastAsia="仿宋_GB2312"/>
                <w:kern w:val="0"/>
              </w:rPr>
              <w:t>满意度指标</w:t>
            </w:r>
          </w:p>
        </w:tc>
        <w:tc>
          <w:tcPr>
            <w:tcW w:w="1122" w:type="dxa"/>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具体指标</w:t>
            </w:r>
          </w:p>
        </w:tc>
        <w:tc>
          <w:tcPr>
            <w:tcW w:w="2522" w:type="dxa"/>
            <w:gridSpan w:val="3"/>
            <w:vAlign w:val="center"/>
          </w:tcPr>
          <w:p>
            <w:pPr>
              <w:widowControl/>
              <w:tabs>
                <w:tab w:val="left" w:pos="404"/>
              </w:tabs>
              <w:snapToGrid w:val="0"/>
              <w:jc w:val="center"/>
              <w:rPr>
                <w:rFonts w:hint="eastAsia" w:ascii="仿宋_GB2312" w:hAnsi="宋体" w:eastAsia="仿宋_GB2312"/>
                <w:kern w:val="0"/>
                <w:lang w:eastAsia="zh-CN"/>
              </w:rPr>
            </w:pPr>
            <w:r>
              <w:rPr>
                <w:rFonts w:hint="eastAsia" w:ascii="仿宋_GB2312" w:hAnsi="宋体" w:eastAsia="仿宋_GB2312"/>
                <w:kern w:val="0"/>
                <w:lang w:eastAsia="zh-CN"/>
              </w:rPr>
              <w:t>受益师生满意度</w:t>
            </w:r>
          </w:p>
        </w:tc>
        <w:tc>
          <w:tcPr>
            <w:tcW w:w="1580" w:type="dxa"/>
            <w:vAlign w:val="center"/>
          </w:tcPr>
          <w:p>
            <w:pPr>
              <w:widowControl/>
              <w:snapToGrid w:val="0"/>
              <w:jc w:val="center"/>
              <w:rPr>
                <w:rFonts w:ascii="仿宋_GB2312" w:hAnsi="宋体" w:eastAsia="仿宋_GB2312"/>
                <w:kern w:val="0"/>
              </w:rPr>
            </w:pPr>
            <w:r>
              <w:rPr>
                <w:rFonts w:hint="eastAsia" w:ascii="仿宋_GB2312" w:hAnsi="宋体" w:eastAsia="仿宋_GB2312"/>
                <w:kern w:val="0"/>
              </w:rPr>
              <w:t>≥95%</w:t>
            </w:r>
          </w:p>
        </w:tc>
        <w:tc>
          <w:tcPr>
            <w:tcW w:w="1319" w:type="dxa"/>
            <w:gridSpan w:val="2"/>
            <w:vAlign w:val="center"/>
          </w:tcPr>
          <w:p>
            <w:pPr>
              <w:widowControl/>
              <w:snapToGrid w:val="0"/>
              <w:jc w:val="center"/>
              <w:rPr>
                <w:rFonts w:ascii="仿宋_GB2312" w:hAnsi="宋体" w:eastAsia="仿宋_GB2312"/>
                <w:kern w:val="0"/>
              </w:rPr>
            </w:pPr>
            <w:r>
              <w:rPr>
                <w:rFonts w:hint="eastAsia" w:ascii="仿宋_GB2312" w:hAnsi="宋体" w:eastAsia="仿宋_GB2312"/>
                <w:kern w:val="0"/>
              </w:rPr>
              <w:t>9</w:t>
            </w:r>
            <w:r>
              <w:rPr>
                <w:rFonts w:hint="eastAsia" w:ascii="仿宋_GB2312" w:hAnsi="宋体" w:eastAsia="仿宋_GB2312"/>
                <w:kern w:val="0"/>
                <w:lang w:val="en-US" w:eastAsia="zh-CN"/>
              </w:rPr>
              <w:t>8</w:t>
            </w:r>
            <w:r>
              <w:rPr>
                <w:rFonts w:hint="eastAsia" w:ascii="仿宋_GB2312" w:hAnsi="宋体" w:eastAsia="仿宋_GB2312"/>
                <w:kern w:val="0"/>
              </w:rPr>
              <w:t>%</w:t>
            </w:r>
          </w:p>
        </w:tc>
        <w:tc>
          <w:tcPr>
            <w:tcW w:w="877" w:type="dxa"/>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总分</w:t>
            </w:r>
          </w:p>
        </w:tc>
        <w:tc>
          <w:tcPr>
            <w:tcW w:w="8120" w:type="dxa"/>
            <w:gridSpan w:val="9"/>
            <w:vAlign w:val="center"/>
          </w:tcPr>
          <w:p>
            <w:pPr>
              <w:widowControl/>
              <w:snapToGrid w:val="0"/>
              <w:jc w:val="center"/>
              <w:rPr>
                <w:rFonts w:hint="default" w:ascii="仿宋_GB2312" w:hAnsi="宋体" w:eastAsia="仿宋_GB2312"/>
                <w:kern w:val="0"/>
                <w:lang w:val="en-US" w:eastAsia="zh-CN"/>
              </w:rPr>
            </w:pPr>
            <w:r>
              <w:rPr>
                <w:rFonts w:hint="eastAsia" w:ascii="仿宋_GB2312" w:hAnsi="宋体" w:eastAsia="仿宋_GB2312"/>
                <w:kern w:val="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0" w:hRule="atLeast"/>
          <w:jc w:val="center"/>
        </w:trPr>
        <w:tc>
          <w:tcPr>
            <w:tcW w:w="1528" w:type="dxa"/>
            <w:gridSpan w:val="2"/>
            <w:vAlign w:val="center"/>
          </w:tcPr>
          <w:p>
            <w:pPr>
              <w:widowControl/>
              <w:jc w:val="center"/>
              <w:rPr>
                <w:rFonts w:ascii="仿宋_GB2312" w:hAnsi="宋体" w:eastAsia="仿宋_GB2312"/>
                <w:kern w:val="0"/>
              </w:rPr>
            </w:pPr>
            <w:r>
              <w:rPr>
                <w:rFonts w:hint="eastAsia" w:ascii="仿宋_GB2312" w:hAnsi="宋体" w:eastAsia="仿宋_GB2312" w:cs="仿宋_GB2312"/>
                <w:kern w:val="0"/>
              </w:rPr>
              <w:t>偏差大或</w:t>
            </w:r>
          </w:p>
          <w:p>
            <w:pPr>
              <w:widowControl/>
              <w:jc w:val="center"/>
              <w:rPr>
                <w:rFonts w:ascii="仿宋_GB2312" w:hAnsi="宋体" w:eastAsia="仿宋_GB2312"/>
                <w:kern w:val="0"/>
              </w:rPr>
            </w:pPr>
            <w:r>
              <w:rPr>
                <w:rFonts w:hint="eastAsia" w:ascii="仿宋_GB2312" w:hAnsi="宋体" w:eastAsia="仿宋_GB2312" w:cs="仿宋_GB2312"/>
                <w:kern w:val="0"/>
              </w:rPr>
              <w:t>目标未完成</w:t>
            </w:r>
          </w:p>
          <w:p>
            <w:pPr>
              <w:widowControl/>
              <w:jc w:val="center"/>
              <w:rPr>
                <w:rFonts w:ascii="仿宋_GB2312" w:hAnsi="宋体" w:eastAsia="仿宋_GB2312"/>
                <w:kern w:val="0"/>
              </w:rPr>
            </w:pPr>
            <w:r>
              <w:rPr>
                <w:rFonts w:hint="eastAsia" w:ascii="仿宋_GB2312" w:hAnsi="宋体" w:eastAsia="仿宋_GB2312" w:cs="仿宋_GB2312"/>
                <w:kern w:val="0"/>
              </w:rPr>
              <w:t>原因分析</w:t>
            </w:r>
          </w:p>
        </w:tc>
        <w:tc>
          <w:tcPr>
            <w:tcW w:w="7420" w:type="dxa"/>
            <w:gridSpan w:val="8"/>
            <w:vAlign w:val="center"/>
          </w:tcPr>
          <w:p>
            <w:pPr>
              <w:widowControl/>
              <w:jc w:val="left"/>
              <w:rPr>
                <w:rFonts w:ascii="仿宋_GB2312" w:hAnsi="宋体" w:eastAsia="仿宋_GB2312"/>
                <w:kern w:val="0"/>
              </w:rPr>
            </w:pPr>
            <w:r>
              <w:rPr>
                <w:rFonts w:hint="eastAsia" w:ascii="仿宋_GB2312" w:hAnsi="宋体" w:eastAsia="仿宋_GB2312" w:cs="仿宋_GB2312"/>
                <w:kern w:val="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5" w:hRule="atLeast"/>
          <w:jc w:val="center"/>
        </w:trPr>
        <w:tc>
          <w:tcPr>
            <w:tcW w:w="1528" w:type="dxa"/>
            <w:gridSpan w:val="2"/>
            <w:vAlign w:val="center"/>
          </w:tcPr>
          <w:p>
            <w:pPr>
              <w:widowControl/>
              <w:jc w:val="center"/>
              <w:rPr>
                <w:rFonts w:ascii="仿宋_GB2312" w:hAnsi="宋体" w:eastAsia="仿宋_GB2312"/>
                <w:kern w:val="0"/>
              </w:rPr>
            </w:pPr>
            <w:r>
              <w:rPr>
                <w:rFonts w:hint="eastAsia" w:ascii="仿宋_GB2312" w:hAnsi="宋体" w:eastAsia="仿宋_GB2312" w:cs="仿宋_GB2312"/>
                <w:kern w:val="0"/>
              </w:rPr>
              <w:t>改进措施及</w:t>
            </w:r>
          </w:p>
          <w:p>
            <w:pPr>
              <w:widowControl/>
              <w:jc w:val="center"/>
              <w:rPr>
                <w:rFonts w:ascii="仿宋_GB2312" w:hAnsi="宋体" w:eastAsia="仿宋_GB2312"/>
                <w:kern w:val="0"/>
              </w:rPr>
            </w:pPr>
            <w:r>
              <w:rPr>
                <w:rFonts w:hint="eastAsia" w:ascii="仿宋_GB2312" w:hAnsi="宋体" w:eastAsia="仿宋_GB2312" w:cs="仿宋_GB2312"/>
                <w:kern w:val="0"/>
              </w:rPr>
              <w:t>结果应用方案</w:t>
            </w:r>
          </w:p>
        </w:tc>
        <w:tc>
          <w:tcPr>
            <w:tcW w:w="7420" w:type="dxa"/>
            <w:gridSpan w:val="8"/>
            <w:vAlign w:val="center"/>
          </w:tcPr>
          <w:p>
            <w:pPr>
              <w:widowControl/>
              <w:jc w:val="left"/>
              <w:rPr>
                <w:rFonts w:ascii="仿宋_GB2312" w:hAnsi="宋体" w:eastAsia="仿宋_GB2312"/>
                <w:kern w:val="0"/>
              </w:rPr>
            </w:pPr>
            <w:r>
              <w:rPr>
                <w:rFonts w:hint="eastAsia" w:ascii="仿宋_GB2312" w:hAnsi="宋体" w:eastAsia="仿宋_GB2312" w:cs="仿宋_GB2312"/>
                <w:kern w:val="0"/>
                <w:lang w:val="en-US" w:eastAsia="zh-CN"/>
              </w:rPr>
              <w:t>无</w:t>
            </w:r>
          </w:p>
        </w:tc>
      </w:tr>
    </w:tbl>
    <w:p>
      <w:pPr>
        <w:widowControl/>
        <w:rPr>
          <w:rFonts w:ascii="仿宋_GB2312" w:hAnsi="宋体" w:eastAsia="仿宋_GB2312"/>
          <w:kern w:val="0"/>
        </w:rPr>
      </w:pPr>
      <w:r>
        <w:rPr>
          <w:rFonts w:hint="eastAsia" w:ascii="仿宋_GB2312" w:hAnsi="宋体" w:eastAsia="仿宋_GB2312" w:cs="仿宋_GB2312"/>
          <w:kern w:val="0"/>
        </w:rPr>
        <w:t>备注：</w:t>
      </w:r>
    </w:p>
    <w:p>
      <w:pPr>
        <w:widowControl/>
        <w:ind w:firstLine="420" w:firstLineChars="200"/>
        <w:rPr>
          <w:rFonts w:ascii="仿宋_GB2312" w:hAnsi="宋体" w:eastAsia="仿宋_GB2312"/>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预算执行情况口径：预算数为调整后财政资金总额（包括上年结余结转），执行数为资金使用单位财政资金实际支出数。涉及政府采购的项目支出要设置相关绩效指标反映政府采购管理情况。</w:t>
      </w:r>
    </w:p>
    <w:p>
      <w:pPr>
        <w:widowControl/>
        <w:ind w:firstLine="420" w:firstLineChars="200"/>
        <w:rPr>
          <w:rFonts w:ascii="仿宋_GB2312" w:hAnsi="宋体" w:eastAsia="仿宋_GB2312"/>
          <w:kern w:val="0"/>
        </w:rPr>
      </w:pPr>
      <w:r>
        <w:rPr>
          <w:rFonts w:ascii="仿宋_GB2312" w:hAnsi="宋体" w:eastAsia="仿宋_GB2312" w:cs="仿宋_GB2312"/>
          <w:kern w:val="0"/>
        </w:rPr>
        <w:t>2.</w:t>
      </w:r>
      <w:r>
        <w:rPr>
          <w:rFonts w:hint="eastAsia" w:ascii="仿宋_GB2312" w:hAnsi="宋体" w:eastAsia="仿宋_GB2312" w:cs="仿宋_GB2312"/>
          <w:kern w:val="0"/>
        </w:rPr>
        <w:t>定量指标完成数汇总原则：绝对值直接累加计算，相对值按照资金额度加权平均计算。定量指标计分原则：正向指标（即目标值为≥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*B/A</w:t>
      </w:r>
      <w:r>
        <w:rPr>
          <w:rFonts w:hint="eastAsia" w:ascii="仿宋_GB2312" w:hAnsi="宋体" w:eastAsia="仿宋_GB2312" w:cs="仿宋_GB2312"/>
          <w:kern w:val="0"/>
        </w:rPr>
        <w:t>），反向指标（即目标值为≤</w:t>
      </w:r>
      <w:r>
        <w:rPr>
          <w:rFonts w:ascii="仿宋_GB2312" w:hAnsi="宋体" w:eastAsia="仿宋_GB2312" w:cs="仿宋_GB2312"/>
          <w:kern w:val="0"/>
        </w:rPr>
        <w:t>X</w:t>
      </w:r>
      <w:r>
        <w:rPr>
          <w:rFonts w:hint="eastAsia" w:ascii="仿宋_GB2312" w:hAnsi="宋体" w:eastAsia="仿宋_GB2312" w:cs="仿宋_GB2312"/>
          <w:kern w:val="0"/>
        </w:rPr>
        <w:t>，得分</w:t>
      </w:r>
      <w:r>
        <w:rPr>
          <w:rFonts w:ascii="仿宋_GB2312" w:hAnsi="宋体" w:eastAsia="仿宋_GB2312" w:cs="仿宋_GB2312"/>
          <w:kern w:val="0"/>
        </w:rPr>
        <w:t>=</w:t>
      </w:r>
      <w:r>
        <w:rPr>
          <w:rFonts w:hint="eastAsia" w:ascii="仿宋_GB2312" w:hAnsi="宋体" w:eastAsia="仿宋_GB2312" w:cs="仿宋_GB2312"/>
          <w:kern w:val="0"/>
        </w:rPr>
        <w:t>权重</w:t>
      </w:r>
      <w:r>
        <w:rPr>
          <w:rFonts w:ascii="仿宋_GB2312" w:hAnsi="宋体" w:eastAsia="仿宋_GB2312" w:cs="仿宋_GB2312"/>
          <w:kern w:val="0"/>
        </w:rPr>
        <w:t>*A/B）</w:t>
      </w:r>
      <w:r>
        <w:rPr>
          <w:rFonts w:hint="eastAsia" w:ascii="仿宋_GB2312" w:hAnsi="宋体" w:eastAsia="仿宋_GB2312" w:cs="仿宋_GB2312"/>
          <w:kern w:val="0"/>
        </w:rPr>
        <w:t>，得分不得突破权重总额。定量指标先汇总完成数，再计算得分。</w:t>
      </w:r>
    </w:p>
    <w:p>
      <w:pPr>
        <w:widowControl/>
        <w:ind w:firstLine="420" w:firstLineChars="200"/>
        <w:rPr>
          <w:rFonts w:ascii="仿宋_GB2312" w:hAnsi="宋体" w:eastAsia="仿宋_GB2312"/>
          <w:kern w:val="0"/>
        </w:rPr>
      </w:pPr>
      <w:r>
        <w:rPr>
          <w:rFonts w:ascii="仿宋_GB2312" w:hAnsi="宋体" w:eastAsia="仿宋_GB2312" w:cs="仿宋_GB2312"/>
          <w:kern w:val="0"/>
        </w:rPr>
        <w:t>3.</w:t>
      </w:r>
      <w:r>
        <w:rPr>
          <w:rFonts w:hint="eastAsia" w:ascii="仿宋_GB2312" w:hAnsi="宋体" w:eastAsia="仿宋_GB2312" w:cs="仿宋_GB2312"/>
          <w:kern w:val="0"/>
        </w:rPr>
        <w:t>定性指标计分原则：达成预期指标、部分达成预期指标并具有一定效果、未达成预期指标且效果较差三档，分别按照该指标对应分值区间</w:t>
      </w:r>
      <w:r>
        <w:rPr>
          <w:rFonts w:ascii="仿宋_GB2312" w:hAnsi="宋体" w:eastAsia="仿宋_GB2312" w:cs="仿宋_GB2312"/>
          <w:kern w:val="0"/>
        </w:rPr>
        <w:t>100-80%</w:t>
      </w:r>
      <w:r>
        <w:rPr>
          <w:rFonts w:hint="eastAsia" w:ascii="仿宋_GB2312" w:hAnsi="宋体" w:eastAsia="仿宋_GB2312" w:cs="仿宋_GB2312"/>
          <w:kern w:val="0"/>
        </w:rPr>
        <w:t>（含</w:t>
      </w:r>
      <w:r>
        <w:rPr>
          <w:rFonts w:ascii="仿宋_GB2312" w:hAnsi="宋体" w:eastAsia="仿宋_GB2312" w:cs="仿宋_GB2312"/>
          <w:kern w:val="0"/>
        </w:rPr>
        <w:t>80%</w:t>
      </w:r>
      <w:r>
        <w:rPr>
          <w:rFonts w:hint="eastAsia" w:ascii="仿宋_GB2312" w:hAnsi="宋体" w:eastAsia="仿宋_GB2312" w:cs="仿宋_GB2312"/>
          <w:kern w:val="0"/>
        </w:rPr>
        <w:t>）、</w:t>
      </w:r>
      <w:r>
        <w:rPr>
          <w:rFonts w:ascii="仿宋_GB2312" w:hAnsi="宋体" w:eastAsia="仿宋_GB2312" w:cs="仿宋_GB2312"/>
          <w:kern w:val="0"/>
        </w:rPr>
        <w:t>80-50%</w:t>
      </w:r>
      <w:r>
        <w:rPr>
          <w:rFonts w:hint="eastAsia" w:ascii="仿宋_GB2312" w:hAnsi="宋体" w:eastAsia="仿宋_GB2312" w:cs="仿宋_GB2312"/>
          <w:kern w:val="0"/>
        </w:rPr>
        <w:t>（含</w:t>
      </w:r>
      <w:r>
        <w:rPr>
          <w:rFonts w:ascii="仿宋_GB2312" w:hAnsi="宋体" w:eastAsia="仿宋_GB2312" w:cs="仿宋_GB2312"/>
          <w:kern w:val="0"/>
        </w:rPr>
        <w:t>50%</w:t>
      </w:r>
      <w:r>
        <w:rPr>
          <w:rFonts w:hint="eastAsia" w:ascii="仿宋_GB2312" w:hAnsi="宋体" w:eastAsia="仿宋_GB2312" w:cs="仿宋_GB2312"/>
          <w:kern w:val="0"/>
        </w:rPr>
        <w:t>）、</w:t>
      </w:r>
      <w:r>
        <w:rPr>
          <w:rFonts w:ascii="仿宋_GB2312" w:hAnsi="宋体" w:eastAsia="仿宋_GB2312" w:cs="仿宋_GB2312"/>
          <w:kern w:val="0"/>
        </w:rPr>
        <w:t>50-0%</w:t>
      </w:r>
      <w:r>
        <w:rPr>
          <w:rFonts w:hint="eastAsia" w:ascii="仿宋_GB2312" w:hAnsi="宋体" w:eastAsia="仿宋_GB2312" w:cs="仿宋_GB2312"/>
          <w:kern w:val="0"/>
        </w:rPr>
        <w:t>合理确定分值。汇总时，以资金额度为权重，对分值进行加权平均计算。</w:t>
      </w:r>
    </w:p>
    <w:p>
      <w:pPr>
        <w:rPr>
          <w:rFonts w:ascii="仿宋_GB2312" w:hAnsi="宋体" w:eastAsia="仿宋_GB2312" w:cs="仿宋_GB2312"/>
          <w:kern w:val="0"/>
        </w:rPr>
      </w:pPr>
      <w:r>
        <w:rPr>
          <w:rFonts w:ascii="仿宋_GB2312" w:hAnsi="宋体" w:eastAsia="仿宋_GB2312" w:cs="仿宋_GB2312"/>
          <w:kern w:val="0"/>
        </w:rPr>
        <w:t>4.</w:t>
      </w:r>
      <w:r>
        <w:rPr>
          <w:rFonts w:hint="eastAsia" w:ascii="仿宋_GB2312" w:hAnsi="宋体" w:eastAsia="仿宋_GB2312" w:cs="仿宋_GB2312"/>
          <w:kern w:val="0"/>
        </w:rPr>
        <w:t>基于经济性和必要性等因素考虑，满意度指标暂可不作为必评指标。</w:t>
      </w:r>
    </w:p>
    <w:p>
      <w:pPr>
        <w:rPr>
          <w:rFonts w:ascii="仿宋_GB2312" w:hAnsi="宋体" w:eastAsia="仿宋_GB2312" w:cs="仿宋_GB2312"/>
          <w:kern w:val="0"/>
        </w:rPr>
      </w:pPr>
      <w:r>
        <w:rPr>
          <w:rFonts w:hint="eastAsia" w:ascii="仿宋_GB2312" w:hAnsi="宋体" w:eastAsia="仿宋_GB2312" w:cs="仿宋_GB2312"/>
          <w:kern w:val="0"/>
        </w:rPr>
        <w:t>5.涉及政府采购的项目支出应设置相关政府采购指标。</w:t>
      </w:r>
    </w:p>
    <w:sectPr>
      <w:pgSz w:w="11906" w:h="16838"/>
      <w:pgMar w:top="1644" w:right="1644" w:bottom="1644"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5ZGNkYjFiYjBlM2Q4Njk0MDZhZTc0M2MwYjc2YjcifQ=="/>
  </w:docVars>
  <w:rsids>
    <w:rsidRoot w:val="005875AC"/>
    <w:rsid w:val="002D671C"/>
    <w:rsid w:val="003340AF"/>
    <w:rsid w:val="003F5028"/>
    <w:rsid w:val="005875AC"/>
    <w:rsid w:val="00613417"/>
    <w:rsid w:val="00B32C0C"/>
    <w:rsid w:val="00D13234"/>
    <w:rsid w:val="00D65302"/>
    <w:rsid w:val="00E9709F"/>
    <w:rsid w:val="00FF3F65"/>
    <w:rsid w:val="039E0BD6"/>
    <w:rsid w:val="06BC0D27"/>
    <w:rsid w:val="07205E13"/>
    <w:rsid w:val="0A2901EE"/>
    <w:rsid w:val="106C5198"/>
    <w:rsid w:val="12387D34"/>
    <w:rsid w:val="12DE2467"/>
    <w:rsid w:val="13822674"/>
    <w:rsid w:val="17136A68"/>
    <w:rsid w:val="347B14FC"/>
    <w:rsid w:val="3DFF38AA"/>
    <w:rsid w:val="3F1E3D5E"/>
    <w:rsid w:val="411F4E39"/>
    <w:rsid w:val="43EB4F15"/>
    <w:rsid w:val="4E882683"/>
    <w:rsid w:val="4F682A9C"/>
    <w:rsid w:val="5EB81451"/>
    <w:rsid w:val="67472B3E"/>
    <w:rsid w:val="6F1F2FB9"/>
    <w:rsid w:val="77682A52"/>
    <w:rsid w:val="7ACE5AC8"/>
    <w:rsid w:val="7FE94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lang w:val="en-US" w:eastAsia="zh-CN" w:bidi="ar-SA"/>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855</Words>
  <Characters>958</Characters>
  <Lines>23</Lines>
  <Paragraphs>6</Paragraphs>
  <TotalTime>16</TotalTime>
  <ScaleCrop>false</ScaleCrop>
  <LinksUpToDate>false</LinksUpToDate>
  <CharactersWithSpaces>995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111</dc:creator>
  <cp:lastModifiedBy>Administrator</cp:lastModifiedBy>
  <cp:lastPrinted>2022-01-07T01:38:00Z</cp:lastPrinted>
  <dcterms:modified xsi:type="dcterms:W3CDTF">2022-06-06T03:49:26Z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2EE083EE86C9474DA3448E4A9E754697</vt:lpwstr>
  </property>
</Properties>
</file>